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212" w:rsidRPr="001D6212" w:rsidRDefault="001D6212" w:rsidP="001D6212">
      <w:pPr>
        <w:shd w:val="clear" w:color="auto" w:fill="FFFFFF"/>
        <w:spacing w:after="0" w:line="675" w:lineRule="atLeast"/>
        <w:outlineLvl w:val="0"/>
        <w:rPr>
          <w:rFonts w:ascii="Tahoma" w:eastAsia="Times New Roman" w:hAnsi="Tahoma" w:cs="Tahoma"/>
          <w:color w:val="A6381D"/>
          <w:kern w:val="36"/>
          <w:sz w:val="54"/>
          <w:szCs w:val="54"/>
          <w:lang w:eastAsia="ru-RU"/>
        </w:rPr>
      </w:pPr>
      <w:r w:rsidRPr="001D6212">
        <w:rPr>
          <w:rFonts w:ascii="Tahoma" w:eastAsia="Times New Roman" w:hAnsi="Tahoma" w:cs="Tahoma"/>
          <w:color w:val="A6381D"/>
          <w:kern w:val="36"/>
          <w:sz w:val="54"/>
          <w:szCs w:val="54"/>
          <w:lang w:eastAsia="ru-RU"/>
        </w:rPr>
        <w:t>Участники с ОВЗ, дети-инвалиды и инвалиды</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1. Нормативно-правовая документация, регламентирующая порядок проведения ГИА для лиц с ОВЗ, детей-инвалидоа и инвалидов</w:t>
      </w:r>
    </w:p>
    <w:p w:rsidR="001D6212" w:rsidRPr="001D6212" w:rsidRDefault="001D6212" w:rsidP="001D6212">
      <w:pPr>
        <w:numPr>
          <w:ilvl w:val="0"/>
          <w:numId w:val="1"/>
        </w:numPr>
        <w:shd w:val="clear" w:color="auto" w:fill="FFFFFF"/>
        <w:spacing w:after="0" w:line="375" w:lineRule="atLeast"/>
        <w:ind w:left="4110"/>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Федеральный закон от 29.12.2012 № 273-ФЗ «Об образовании в Российской Федерации»;</w:t>
      </w:r>
    </w:p>
    <w:p w:rsidR="001D6212" w:rsidRPr="001D6212" w:rsidRDefault="001D6212" w:rsidP="001D6212">
      <w:pPr>
        <w:numPr>
          <w:ilvl w:val="0"/>
          <w:numId w:val="1"/>
        </w:numPr>
        <w:shd w:val="clear" w:color="auto" w:fill="FFFFFF"/>
        <w:spacing w:after="0" w:line="375" w:lineRule="atLeast"/>
        <w:ind w:left="4110"/>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Приказ Минобрнауки России от 26.12.2013 № 1400 «Об утверждении Порядка проведения государственной итоговой аттестации по образовательным программам среднего общего образования» (зарегистрирован Минюстом России 03.02.2014, регистрационный № 31205);</w:t>
      </w:r>
    </w:p>
    <w:p w:rsidR="001D6212" w:rsidRPr="001D6212" w:rsidRDefault="001D6212" w:rsidP="001D6212">
      <w:pPr>
        <w:numPr>
          <w:ilvl w:val="0"/>
          <w:numId w:val="1"/>
        </w:numPr>
        <w:shd w:val="clear" w:color="auto" w:fill="FFFFFF"/>
        <w:spacing w:after="0" w:line="375" w:lineRule="atLeast"/>
        <w:ind w:left="4110"/>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Методические рекомендации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 детей-инвалидов и инвалидов</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2. Допуск к ГИА</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proofErr w:type="gramStart"/>
      <w:r w:rsidRPr="001D6212">
        <w:rPr>
          <w:rFonts w:ascii="Tahoma" w:eastAsia="Times New Roman" w:hAnsi="Tahoma" w:cs="Tahoma"/>
          <w:color w:val="292929"/>
          <w:sz w:val="23"/>
          <w:szCs w:val="23"/>
          <w:lang w:eastAsia="ru-RU"/>
        </w:rPr>
        <w:t>К ГИА допускаются обучающиеся, не имеющие академической задолженности, в том числе за итоговое сочинение (изложение),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roofErr w:type="gramEnd"/>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Лица с ОВЗ, дети-инвалиды и инвалиды имеют право писать, как итоговое сочинение, так и изложение </w:t>
      </w:r>
      <w:r w:rsidRPr="001D6212">
        <w:rPr>
          <w:rFonts w:ascii="Tahoma" w:eastAsia="Times New Roman" w:hAnsi="Tahoma" w:cs="Tahoma"/>
          <w:b/>
          <w:bCs/>
          <w:color w:val="292929"/>
          <w:sz w:val="23"/>
          <w:lang w:eastAsia="ru-RU"/>
        </w:rPr>
        <w:t>(при этом время увеличивается на 1,5 часа)</w:t>
      </w:r>
      <w:r w:rsidRPr="001D6212">
        <w:rPr>
          <w:rFonts w:ascii="Tahoma" w:eastAsia="Times New Roman" w:hAnsi="Tahoma" w:cs="Tahoma"/>
          <w:color w:val="292929"/>
          <w:sz w:val="23"/>
          <w:szCs w:val="23"/>
          <w:lang w:eastAsia="ru-RU"/>
        </w:rPr>
        <w:t>.</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Результаты итогового сочинения</w:t>
      </w:r>
      <w:r w:rsidRPr="001D6212">
        <w:rPr>
          <w:rFonts w:ascii="Tahoma" w:eastAsia="Times New Roman" w:hAnsi="Tahoma" w:cs="Tahoma"/>
          <w:color w:val="292929"/>
          <w:sz w:val="23"/>
          <w:szCs w:val="23"/>
          <w:lang w:eastAsia="ru-RU"/>
        </w:rPr>
        <w:t> учитываются по усмотрению вуза.</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Результаты изложения</w:t>
      </w:r>
      <w:r w:rsidRPr="001D6212">
        <w:rPr>
          <w:rFonts w:ascii="Tahoma" w:eastAsia="Times New Roman" w:hAnsi="Tahoma" w:cs="Tahoma"/>
          <w:color w:val="292929"/>
          <w:sz w:val="23"/>
          <w:szCs w:val="23"/>
          <w:lang w:eastAsia="ru-RU"/>
        </w:rPr>
        <w:t> вузом не учитываются.</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Итоговое сочинение (изложение) проводится в условиях, учитывающих состояние их здоровья. Для лиц, имеющих медицинские показания для обучения на дому и соответствующие рекомендации психолого-медико-педагогической комиссии, итоговое сочинение (изложение) </w:t>
      </w:r>
      <w:r w:rsidRPr="001D6212">
        <w:rPr>
          <w:rFonts w:ascii="Tahoma" w:eastAsia="Times New Roman" w:hAnsi="Tahoma" w:cs="Tahoma"/>
          <w:b/>
          <w:bCs/>
          <w:color w:val="292929"/>
          <w:sz w:val="23"/>
          <w:lang w:eastAsia="ru-RU"/>
        </w:rPr>
        <w:t>организуется на дому (или в медицинском учреждении)</w:t>
      </w:r>
      <w:r w:rsidRPr="001D6212">
        <w:rPr>
          <w:rFonts w:ascii="Tahoma" w:eastAsia="Times New Roman" w:hAnsi="Tahoma" w:cs="Tahoma"/>
          <w:color w:val="292929"/>
          <w:sz w:val="23"/>
          <w:szCs w:val="23"/>
          <w:lang w:eastAsia="ru-RU"/>
        </w:rPr>
        <w:t>.</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lastRenderedPageBreak/>
        <w:t>Проведение итогового сочинения (изложения) регулируется </w:t>
      </w:r>
      <w:hyperlink r:id="rId5" w:history="1">
        <w:r w:rsidRPr="001D6212">
          <w:rPr>
            <w:rFonts w:ascii="Tahoma" w:eastAsia="Times New Roman" w:hAnsi="Tahoma" w:cs="Tahoma"/>
            <w:color w:val="317BA0"/>
            <w:sz w:val="23"/>
            <w:u w:val="single"/>
            <w:lang w:eastAsia="ru-RU"/>
          </w:rPr>
          <w:t>Порядком проведения государственной итоговой аттестации по образовательным программам среднего общего образования, утвержденным приказом Минобрнауки России от 26.12.2013 № 1400 (</w:t>
        </w:r>
        <w:proofErr w:type="gramStart"/>
        <w:r w:rsidRPr="001D6212">
          <w:rPr>
            <w:rFonts w:ascii="Tahoma" w:eastAsia="Times New Roman" w:hAnsi="Tahoma" w:cs="Tahoma"/>
            <w:color w:val="317BA0"/>
            <w:sz w:val="23"/>
            <w:u w:val="single"/>
            <w:lang w:eastAsia="ru-RU"/>
          </w:rPr>
          <w:t>зарегистрирован</w:t>
        </w:r>
        <w:proofErr w:type="gramEnd"/>
        <w:r w:rsidRPr="001D6212">
          <w:rPr>
            <w:rFonts w:ascii="Tahoma" w:eastAsia="Times New Roman" w:hAnsi="Tahoma" w:cs="Tahoma"/>
            <w:color w:val="317BA0"/>
            <w:sz w:val="23"/>
            <w:u w:val="single"/>
            <w:lang w:eastAsia="ru-RU"/>
          </w:rPr>
          <w:t xml:space="preserve"> Минюстом России 03.02.2014, регистрационный № 31205) и Методическими рекомендациями по подготовке и проведению итогового сочинения (изложения).</w:t>
        </w:r>
        <w:r w:rsidRPr="001D6212">
          <w:rPr>
            <w:rFonts w:ascii="Tahoma" w:eastAsia="Times New Roman" w:hAnsi="Tahoma" w:cs="Tahoma"/>
            <w:b/>
            <w:bCs/>
            <w:color w:val="317BA0"/>
            <w:sz w:val="23"/>
            <w:lang w:eastAsia="ru-RU"/>
          </w:rPr>
          <w:t> </w:t>
        </w:r>
      </w:hyperlink>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3. Необходимые документы для предоставления особых условий</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Обучающиеся, выпускники прошлых лет с ОВЗ при подаче заявления предъявляют копию </w:t>
      </w:r>
      <w:r w:rsidRPr="001D6212">
        <w:rPr>
          <w:rFonts w:ascii="Tahoma" w:eastAsia="Times New Roman" w:hAnsi="Tahoma" w:cs="Tahoma"/>
          <w:b/>
          <w:bCs/>
          <w:color w:val="292929"/>
          <w:sz w:val="23"/>
          <w:lang w:eastAsia="ru-RU"/>
        </w:rPr>
        <w:t>рекомендаций психолого-медико-педагогической комиссии (ПМПК)</w:t>
      </w:r>
      <w:r w:rsidRPr="001D6212">
        <w:rPr>
          <w:rFonts w:ascii="Tahoma" w:eastAsia="Times New Roman" w:hAnsi="Tahoma" w:cs="Tahoma"/>
          <w:color w:val="292929"/>
          <w:sz w:val="23"/>
          <w:szCs w:val="23"/>
          <w:lang w:eastAsia="ru-RU"/>
        </w:rPr>
        <w:t>.</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Обучающиеся, выпускники прошлых лет дети-инвалиды и инвалиды - </w:t>
      </w:r>
      <w:r w:rsidRPr="001D6212">
        <w:rPr>
          <w:rFonts w:ascii="Tahoma" w:eastAsia="Times New Roman" w:hAnsi="Tahoma" w:cs="Tahoma"/>
          <w:b/>
          <w:bCs/>
          <w:color w:val="292929"/>
          <w:sz w:val="23"/>
          <w:lang w:eastAsia="ru-RU"/>
        </w:rPr>
        <w:t>оригинал или заверенную в установленном порядке копию справки, подтверждающей факт установления инвалидности,</w:t>
      </w:r>
      <w:r w:rsidRPr="001D6212">
        <w:rPr>
          <w:rFonts w:ascii="Tahoma" w:eastAsia="Times New Roman" w:hAnsi="Tahoma" w:cs="Tahoma"/>
          <w:color w:val="292929"/>
          <w:sz w:val="23"/>
          <w:szCs w:val="23"/>
          <w:lang w:eastAsia="ru-RU"/>
        </w:rPr>
        <w:t> выданной федеральным государственным учреждением медико-социальной экспертизы (далее – Справка ФГУ МСЭ).</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В заявлении обучающиеся указывают специальные условия, учитывающие состояние их здоровья, особенности психофизического развития.</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4. Форма ГИА</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 xml:space="preserve">Обучающиеся с ограниченными возможностями </w:t>
      </w:r>
      <w:proofErr w:type="gramStart"/>
      <w:r w:rsidRPr="001D6212">
        <w:rPr>
          <w:rFonts w:ascii="Tahoma" w:eastAsia="Times New Roman" w:hAnsi="Tahoma" w:cs="Tahoma"/>
          <w:color w:val="292929"/>
          <w:sz w:val="23"/>
          <w:szCs w:val="23"/>
          <w:lang w:eastAsia="ru-RU"/>
        </w:rPr>
        <w:t>здоровья, обучающиеся дети-инвалиды и инвалиды по образовательным программам среднего общего образования могут</w:t>
      </w:r>
      <w:proofErr w:type="gramEnd"/>
      <w:r w:rsidRPr="001D6212">
        <w:rPr>
          <w:rFonts w:ascii="Tahoma" w:eastAsia="Times New Roman" w:hAnsi="Tahoma" w:cs="Tahoma"/>
          <w:color w:val="292929"/>
          <w:sz w:val="23"/>
          <w:szCs w:val="23"/>
          <w:lang w:eastAsia="ru-RU"/>
        </w:rPr>
        <w:t xml:space="preserve"> добровольно выбрать форму ГИА</w:t>
      </w:r>
      <w:r w:rsidRPr="001D6212">
        <w:rPr>
          <w:rFonts w:ascii="Tahoma" w:eastAsia="Times New Roman" w:hAnsi="Tahoma" w:cs="Tahoma"/>
          <w:b/>
          <w:bCs/>
          <w:color w:val="292929"/>
          <w:sz w:val="23"/>
          <w:lang w:eastAsia="ru-RU"/>
        </w:rPr>
        <w:t> (единый государственный экзамен (ЕГЭ) или государственный выпускной экзамен (ГВЭ)).</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Результаты ГВЭ,</w:t>
      </w:r>
      <w:r w:rsidRPr="001D6212">
        <w:rPr>
          <w:rFonts w:ascii="Tahoma" w:eastAsia="Times New Roman" w:hAnsi="Tahoma" w:cs="Tahoma"/>
          <w:color w:val="292929"/>
          <w:sz w:val="23"/>
          <w:szCs w:val="23"/>
          <w:lang w:eastAsia="ru-RU"/>
        </w:rPr>
        <w:t> в отличие от результатов ЕГЭ, </w:t>
      </w:r>
      <w:r w:rsidRPr="001D6212">
        <w:rPr>
          <w:rFonts w:ascii="Tahoma" w:eastAsia="Times New Roman" w:hAnsi="Tahoma" w:cs="Tahoma"/>
          <w:b/>
          <w:bCs/>
          <w:color w:val="292929"/>
          <w:sz w:val="23"/>
          <w:lang w:eastAsia="ru-RU"/>
        </w:rPr>
        <w:t>не учитываются при поступлении в вузы,</w:t>
      </w:r>
      <w:r w:rsidRPr="001D6212">
        <w:rPr>
          <w:rFonts w:ascii="Tahoma" w:eastAsia="Times New Roman" w:hAnsi="Tahoma" w:cs="Tahoma"/>
          <w:color w:val="292929"/>
          <w:sz w:val="23"/>
          <w:szCs w:val="23"/>
          <w:lang w:eastAsia="ru-RU"/>
        </w:rPr>
        <w:t xml:space="preserve"> а засчитываются только как итоги государственной итоговой аттестации. </w:t>
      </w:r>
      <w:proofErr w:type="gramStart"/>
      <w:r w:rsidRPr="001D6212">
        <w:rPr>
          <w:rFonts w:ascii="Tahoma" w:eastAsia="Times New Roman" w:hAnsi="Tahoma" w:cs="Tahoma"/>
          <w:color w:val="292929"/>
          <w:sz w:val="23"/>
          <w:szCs w:val="23"/>
          <w:lang w:eastAsia="ru-RU"/>
        </w:rPr>
        <w:t>Поступить в вуз обучающиеся, сдававшие ГВЭ, смогут по результатам вступительных испытаний, форму и перечень которых определяются образовательной организацией высшего образования.</w:t>
      </w:r>
      <w:proofErr w:type="gramEnd"/>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5. Продолжительность ГИА</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proofErr w:type="gramStart"/>
      <w:r w:rsidRPr="001D6212">
        <w:rPr>
          <w:rFonts w:ascii="Tahoma" w:eastAsia="Times New Roman" w:hAnsi="Tahoma" w:cs="Tahoma"/>
          <w:b/>
          <w:bCs/>
          <w:color w:val="292929"/>
          <w:sz w:val="23"/>
          <w:lang w:eastAsia="ru-RU"/>
        </w:rPr>
        <w:t>Продолжительность экзамена для данных лиц увеличивается на 1,5 часа </w:t>
      </w:r>
      <w:r w:rsidRPr="001D6212">
        <w:rPr>
          <w:rFonts w:ascii="Tahoma" w:eastAsia="Times New Roman" w:hAnsi="Tahoma" w:cs="Tahoma"/>
          <w:color w:val="292929"/>
          <w:sz w:val="23"/>
          <w:szCs w:val="23"/>
          <w:lang w:eastAsia="ru-RU"/>
        </w:rPr>
        <w:t>(за исключением ЕГЭ по иностранным языкам (раздел "Говорение").</w:t>
      </w:r>
      <w:proofErr w:type="gramEnd"/>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Продолжительность ЕГЭ по иностранным языкам (раздел «Говорение») увеличивается на 30 минут.</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6. Условия проведения ГИА</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Материально-технические условия проведения экзамена</w:t>
      </w:r>
      <w:r w:rsidRPr="001D6212">
        <w:rPr>
          <w:rFonts w:ascii="Tahoma" w:eastAsia="Times New Roman" w:hAnsi="Tahoma" w:cs="Tahoma"/>
          <w:color w:val="292929"/>
          <w:sz w:val="23"/>
          <w:szCs w:val="23"/>
          <w:lang w:eastAsia="ru-RU"/>
        </w:rPr>
        <w:t> обеспечивают возможность беспрепятственного доступа таких обучающихся, выпускников прошлых лет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lastRenderedPageBreak/>
        <w:t>При проведении экзамена присутствуют </w:t>
      </w:r>
      <w:r w:rsidRPr="001D6212">
        <w:rPr>
          <w:rFonts w:ascii="Tahoma" w:eastAsia="Times New Roman" w:hAnsi="Tahoma" w:cs="Tahoma"/>
          <w:b/>
          <w:bCs/>
          <w:color w:val="292929"/>
          <w:sz w:val="23"/>
          <w:lang w:eastAsia="ru-RU"/>
        </w:rPr>
        <w:t>ассистенты,</w:t>
      </w:r>
      <w:r w:rsidRPr="001D6212">
        <w:rPr>
          <w:rFonts w:ascii="Tahoma" w:eastAsia="Times New Roman" w:hAnsi="Tahoma" w:cs="Tahoma"/>
          <w:color w:val="292929"/>
          <w:sz w:val="23"/>
          <w:szCs w:val="23"/>
          <w:lang w:eastAsia="ru-RU"/>
        </w:rPr>
        <w:t> оказывающие указанным обучающимся, выпускникам прошлых лет необходимую техническую помощь с учетом их индивидуальных возможностей, помогающие им занять рабочее место, передвигаться, прочитать задание.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Указанные обучающиеся, выпускники прошлых лет с учетом их индивидуальных возможностей пользуются в процессе сдачи экзамена </w:t>
      </w:r>
      <w:r w:rsidRPr="001D6212">
        <w:rPr>
          <w:rFonts w:ascii="Tahoma" w:eastAsia="Times New Roman" w:hAnsi="Tahoma" w:cs="Tahoma"/>
          <w:b/>
          <w:bCs/>
          <w:color w:val="292929"/>
          <w:sz w:val="23"/>
          <w:lang w:eastAsia="ru-RU"/>
        </w:rPr>
        <w:t>необходимыми им техническими средствами.</w:t>
      </w:r>
      <w:r w:rsidRPr="001D6212">
        <w:rPr>
          <w:rFonts w:ascii="Tahoma" w:eastAsia="Times New Roman" w:hAnsi="Tahoma" w:cs="Tahoma"/>
          <w:color w:val="292929"/>
          <w:sz w:val="23"/>
          <w:szCs w:val="23"/>
          <w:lang w:eastAsia="ru-RU"/>
        </w:rPr>
        <w:t>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ГВЭ по всем учебным предметам по их желанию проводится в устной форме.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Для слабослышащих</w:t>
      </w:r>
      <w:r w:rsidRPr="001D6212">
        <w:rPr>
          <w:rFonts w:ascii="Tahoma" w:eastAsia="Times New Roman" w:hAnsi="Tahoma" w:cs="Tahoma"/>
          <w:color w:val="292929"/>
          <w:sz w:val="23"/>
          <w:szCs w:val="23"/>
          <w:lang w:eastAsia="ru-RU"/>
        </w:rPr>
        <w:t> обучающихся, выпускников прошлых лет аудитории для проведения экзамена оборудуются звукоусиливающей аппаратурой как коллективного, так и индивидуального пользования.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Для глухих и слабослышащих</w:t>
      </w:r>
      <w:r w:rsidRPr="001D6212">
        <w:rPr>
          <w:rFonts w:ascii="Tahoma" w:eastAsia="Times New Roman" w:hAnsi="Tahoma" w:cs="Tahoma"/>
          <w:color w:val="292929"/>
          <w:sz w:val="23"/>
          <w:szCs w:val="23"/>
          <w:lang w:eastAsia="ru-RU"/>
        </w:rPr>
        <w:t> обучающихся, выпускников прошлых лет при необходимости привлекается ассистент-сурдопереводчик.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Для слепых</w:t>
      </w:r>
      <w:r w:rsidRPr="001D6212">
        <w:rPr>
          <w:rFonts w:ascii="Tahoma" w:eastAsia="Times New Roman" w:hAnsi="Tahoma" w:cs="Tahoma"/>
          <w:color w:val="292929"/>
          <w:sz w:val="23"/>
          <w:szCs w:val="23"/>
          <w:lang w:eastAsia="ru-RU"/>
        </w:rPr>
        <w:t> обучающихся, выпускников прошлых лет:</w:t>
      </w:r>
    </w:p>
    <w:p w:rsidR="001D6212" w:rsidRPr="001D6212" w:rsidRDefault="001D6212" w:rsidP="001D6212">
      <w:pPr>
        <w:numPr>
          <w:ilvl w:val="0"/>
          <w:numId w:val="2"/>
        </w:numPr>
        <w:shd w:val="clear" w:color="auto" w:fill="FFFFFF"/>
        <w:spacing w:after="0" w:line="375" w:lineRule="atLeast"/>
        <w:ind w:left="4110"/>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экзаменационные материалы оформляются рельефно-точечным шрифтом Брайля или в виде электронного документа, доступного с помощью компьютера;</w:t>
      </w:r>
    </w:p>
    <w:p w:rsidR="001D6212" w:rsidRPr="001D6212" w:rsidRDefault="001D6212" w:rsidP="001D6212">
      <w:pPr>
        <w:numPr>
          <w:ilvl w:val="0"/>
          <w:numId w:val="2"/>
        </w:numPr>
        <w:shd w:val="clear" w:color="auto" w:fill="FFFFFF"/>
        <w:spacing w:after="0" w:line="375" w:lineRule="atLeast"/>
        <w:ind w:left="4110"/>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письменная экзаменационная работа выполняется рельефно-точечным шрифтом Брайля или на компьютере;</w:t>
      </w:r>
    </w:p>
    <w:p w:rsidR="001D6212" w:rsidRPr="001D6212" w:rsidRDefault="001D6212" w:rsidP="001D6212">
      <w:pPr>
        <w:numPr>
          <w:ilvl w:val="0"/>
          <w:numId w:val="2"/>
        </w:numPr>
        <w:shd w:val="clear" w:color="auto" w:fill="FFFFFF"/>
        <w:spacing w:after="0" w:line="375" w:lineRule="atLeast"/>
        <w:ind w:left="4110"/>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предусматривается достаточное количество специальных принадлежностей для оформления ответов рельефно-точечным шрифтом Брайля, компьютер.</w:t>
      </w:r>
      <w:r w:rsidRPr="001D6212">
        <w:rPr>
          <w:rFonts w:ascii="Tahoma" w:eastAsia="Times New Roman" w:hAnsi="Tahoma" w:cs="Tahoma"/>
          <w:b/>
          <w:bCs/>
          <w:color w:val="292929"/>
          <w:sz w:val="23"/>
          <w:lang w:eastAsia="ru-RU"/>
        </w:rPr>
        <w:t>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t>Для слабовидящих </w:t>
      </w:r>
      <w:r w:rsidRPr="001D6212">
        <w:rPr>
          <w:rFonts w:ascii="Tahoma" w:eastAsia="Times New Roman" w:hAnsi="Tahoma" w:cs="Tahoma"/>
          <w:color w:val="292929"/>
          <w:sz w:val="23"/>
          <w:szCs w:val="23"/>
          <w:lang w:eastAsia="ru-RU"/>
        </w:rPr>
        <w:t>обучающихся, выпускников прошлых лет экзаменационные материалы копируются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Для обучающихся, выпускников прошлых лет </w:t>
      </w:r>
      <w:r w:rsidRPr="001D6212">
        <w:rPr>
          <w:rFonts w:ascii="Tahoma" w:eastAsia="Times New Roman" w:hAnsi="Tahoma" w:cs="Tahoma"/>
          <w:b/>
          <w:bCs/>
          <w:color w:val="292929"/>
          <w:sz w:val="23"/>
          <w:lang w:eastAsia="ru-RU"/>
        </w:rPr>
        <w:t xml:space="preserve">с нарушением </w:t>
      </w:r>
      <w:proofErr w:type="gramStart"/>
      <w:r w:rsidRPr="001D6212">
        <w:rPr>
          <w:rFonts w:ascii="Tahoma" w:eastAsia="Times New Roman" w:hAnsi="Tahoma" w:cs="Tahoma"/>
          <w:b/>
          <w:bCs/>
          <w:color w:val="292929"/>
          <w:sz w:val="23"/>
          <w:lang w:eastAsia="ru-RU"/>
        </w:rPr>
        <w:t>опорно-двигательного</w:t>
      </w:r>
      <w:proofErr w:type="gramEnd"/>
      <w:r w:rsidRPr="001D6212">
        <w:rPr>
          <w:rFonts w:ascii="Tahoma" w:eastAsia="Times New Roman" w:hAnsi="Tahoma" w:cs="Tahoma"/>
          <w:b/>
          <w:bCs/>
          <w:color w:val="292929"/>
          <w:sz w:val="23"/>
          <w:lang w:eastAsia="ru-RU"/>
        </w:rPr>
        <w:t xml:space="preserve"> аппарата</w:t>
      </w:r>
      <w:r w:rsidRPr="001D6212">
        <w:rPr>
          <w:rFonts w:ascii="Tahoma" w:eastAsia="Times New Roman" w:hAnsi="Tahoma" w:cs="Tahoma"/>
          <w:color w:val="292929"/>
          <w:sz w:val="23"/>
          <w:szCs w:val="23"/>
          <w:lang w:eastAsia="ru-RU"/>
        </w:rPr>
        <w:t>письменная экзаменационная работа может выполняться на компьютере со специализированным программным обеспечением.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Во время проведения экзамена для указанных обучающихся, выпускников прошлых лет организуются </w:t>
      </w:r>
      <w:r w:rsidRPr="001D6212">
        <w:rPr>
          <w:rFonts w:ascii="Tahoma" w:eastAsia="Times New Roman" w:hAnsi="Tahoma" w:cs="Tahoma"/>
          <w:b/>
          <w:bCs/>
          <w:color w:val="292929"/>
          <w:sz w:val="23"/>
          <w:lang w:eastAsia="ru-RU"/>
        </w:rPr>
        <w:t>питание и перерывы для проведения необходимых лечебных и профилактических мероприятий.</w:t>
      </w:r>
      <w:r w:rsidRPr="001D6212">
        <w:rPr>
          <w:rFonts w:ascii="Tahoma" w:eastAsia="Times New Roman" w:hAnsi="Tahoma" w:cs="Tahoma"/>
          <w:color w:val="292929"/>
          <w:sz w:val="23"/>
          <w:szCs w:val="23"/>
          <w:lang w:eastAsia="ru-RU"/>
        </w:rPr>
        <w:t>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Для лиц, имеющих медицинские показания для обучения на дому и соответствующие рекомендации психолого-медико-педагогической комиссии, </w:t>
      </w:r>
      <w:r w:rsidRPr="001D6212">
        <w:rPr>
          <w:rFonts w:ascii="Tahoma" w:eastAsia="Times New Roman" w:hAnsi="Tahoma" w:cs="Tahoma"/>
          <w:b/>
          <w:bCs/>
          <w:color w:val="292929"/>
          <w:sz w:val="23"/>
          <w:lang w:eastAsia="ru-RU"/>
        </w:rPr>
        <w:t>экзамен организуется на дому. </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b/>
          <w:bCs/>
          <w:color w:val="292929"/>
          <w:sz w:val="23"/>
          <w:lang w:eastAsia="ru-RU"/>
        </w:rPr>
        <w:lastRenderedPageBreak/>
        <w:t>7. Особенности рассмотрения апелляций участников ГИА с ОВЗ</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Для рассмотрения апелляций участников ГИА с ОВЗ, детей-инвалидов и инвалидов КК привлекает к своей работе тифлопереводчиков (для рассмотрения апелляций слепых участников ГИА), сурдопереводчиков (для рассмотрения апелляций глухих участников ГИА).</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Вместе с участником ГИА с ОВЗ, ребенком - инвалидом, инвалидом на рассмотрении его апелляции помимо родителей (законных представителей) может присутствовать ассистент.</w:t>
      </w:r>
    </w:p>
    <w:p w:rsidR="001D6212" w:rsidRPr="001D6212" w:rsidRDefault="001D6212" w:rsidP="001D6212">
      <w:pPr>
        <w:shd w:val="clear" w:color="auto" w:fill="FFFFFF"/>
        <w:spacing w:after="0" w:line="375" w:lineRule="atLeast"/>
        <w:rPr>
          <w:rFonts w:ascii="Tahoma" w:eastAsia="Times New Roman" w:hAnsi="Tahoma" w:cs="Tahoma"/>
          <w:color w:val="292929"/>
          <w:sz w:val="23"/>
          <w:szCs w:val="23"/>
          <w:lang w:eastAsia="ru-RU"/>
        </w:rPr>
      </w:pPr>
      <w:r w:rsidRPr="001D6212">
        <w:rPr>
          <w:rFonts w:ascii="Tahoma" w:eastAsia="Times New Roman" w:hAnsi="Tahoma" w:cs="Tahoma"/>
          <w:color w:val="292929"/>
          <w:sz w:val="23"/>
          <w:szCs w:val="23"/>
          <w:lang w:eastAsia="ru-RU"/>
        </w:rPr>
        <w:t>В случае обнаружения КК ошибки в переносе ответов слепых или слабовидящих участников ГИА на бланки ГИА конфликтная комиссия учитывает данные ошибки как технический брак. Экзаменационные работы таких участников ГИА проходят повторную обработку (включая перенос на бланки ГИА стандартного размера) и, при необходимости, повторную проверку экспертами.</w:t>
      </w:r>
    </w:p>
    <w:p w:rsidR="001D6212" w:rsidRPr="001D6212" w:rsidRDefault="001D6212" w:rsidP="001D6212">
      <w:pPr>
        <w:numPr>
          <w:ilvl w:val="0"/>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6" w:history="1">
        <w:r w:rsidRPr="001D6212">
          <w:rPr>
            <w:rFonts w:ascii="Tahoma" w:eastAsia="Times New Roman" w:hAnsi="Tahoma" w:cs="Tahoma"/>
            <w:color w:val="255578"/>
            <w:sz w:val="24"/>
            <w:szCs w:val="24"/>
            <w:lang w:eastAsia="ru-RU"/>
          </w:rPr>
          <w:t>Государственная итоговая аттестация 2018</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7" w:history="1">
        <w:r w:rsidRPr="001D6212">
          <w:rPr>
            <w:rFonts w:ascii="Tahoma" w:eastAsia="Times New Roman" w:hAnsi="Tahoma" w:cs="Tahoma"/>
            <w:color w:val="255578"/>
            <w:sz w:val="24"/>
            <w:szCs w:val="24"/>
            <w:lang w:eastAsia="ru-RU"/>
          </w:rPr>
          <w:t>ГИА-11</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8" w:history="1">
        <w:r w:rsidRPr="001D6212">
          <w:rPr>
            <w:rFonts w:ascii="Tahoma" w:eastAsia="Times New Roman" w:hAnsi="Tahoma" w:cs="Tahoma"/>
            <w:color w:val="255578"/>
            <w:sz w:val="24"/>
            <w:szCs w:val="24"/>
            <w:lang w:eastAsia="ru-RU"/>
          </w:rPr>
          <w:t>Расписание ГИА 2018</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9" w:history="1">
        <w:r w:rsidRPr="001D6212">
          <w:rPr>
            <w:rFonts w:ascii="Tahoma" w:eastAsia="Times New Roman" w:hAnsi="Tahoma" w:cs="Tahoma"/>
            <w:color w:val="255578"/>
            <w:sz w:val="24"/>
            <w:szCs w:val="24"/>
            <w:lang w:eastAsia="ru-RU"/>
          </w:rPr>
          <w:t>Итоговое сочинение (изложение)</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0" w:history="1">
        <w:r w:rsidRPr="001D6212">
          <w:rPr>
            <w:rFonts w:ascii="Tahoma" w:eastAsia="Times New Roman" w:hAnsi="Tahoma" w:cs="Tahoma"/>
            <w:color w:val="255578"/>
            <w:sz w:val="24"/>
            <w:szCs w:val="24"/>
            <w:lang w:eastAsia="ru-RU"/>
          </w:rPr>
          <w:t>ГИА-9</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1" w:history="1">
        <w:r w:rsidRPr="001D6212">
          <w:rPr>
            <w:rFonts w:ascii="Tahoma" w:eastAsia="Times New Roman" w:hAnsi="Tahoma" w:cs="Tahoma"/>
            <w:color w:val="255578"/>
            <w:sz w:val="24"/>
            <w:szCs w:val="24"/>
            <w:lang w:eastAsia="ru-RU"/>
          </w:rPr>
          <w:t>Участники с ОВЗ, дети-инвалиды и инвалиды</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2" w:history="1">
        <w:r w:rsidRPr="001D6212">
          <w:rPr>
            <w:rFonts w:ascii="Tahoma" w:eastAsia="Times New Roman" w:hAnsi="Tahoma" w:cs="Tahoma"/>
            <w:color w:val="0000FF"/>
            <w:sz w:val="24"/>
            <w:szCs w:val="24"/>
            <w:lang w:eastAsia="ru-RU"/>
          </w:rPr>
          <w:t>Участники с ОВЗ, дети-инвалиды и инвалиды</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3" w:history="1">
        <w:r w:rsidRPr="001D6212">
          <w:rPr>
            <w:rFonts w:ascii="Tahoma" w:eastAsia="Times New Roman" w:hAnsi="Tahoma" w:cs="Tahoma"/>
            <w:color w:val="255578"/>
            <w:sz w:val="24"/>
            <w:szCs w:val="24"/>
            <w:lang w:eastAsia="ru-RU"/>
          </w:rPr>
          <w:t>Апелляция ЕГЭ</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4" w:history="1">
        <w:r w:rsidRPr="001D6212">
          <w:rPr>
            <w:rFonts w:ascii="Tahoma" w:eastAsia="Times New Roman" w:hAnsi="Tahoma" w:cs="Tahoma"/>
            <w:color w:val="255578"/>
            <w:sz w:val="24"/>
            <w:szCs w:val="24"/>
            <w:lang w:eastAsia="ru-RU"/>
          </w:rPr>
          <w:t>Правила и процедура проведения ЕГЭ</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5" w:history="1">
        <w:r w:rsidRPr="001D6212">
          <w:rPr>
            <w:rFonts w:ascii="Tahoma" w:eastAsia="Times New Roman" w:hAnsi="Tahoma" w:cs="Tahoma"/>
            <w:color w:val="255578"/>
            <w:sz w:val="24"/>
            <w:szCs w:val="24"/>
            <w:lang w:eastAsia="ru-RU"/>
          </w:rPr>
          <w:t>Проверить результаты</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6" w:history="1">
        <w:r w:rsidRPr="001D6212">
          <w:rPr>
            <w:rFonts w:ascii="Tahoma" w:eastAsia="Times New Roman" w:hAnsi="Tahoma" w:cs="Tahoma"/>
            <w:color w:val="255578"/>
            <w:sz w:val="24"/>
            <w:szCs w:val="24"/>
            <w:lang w:eastAsia="ru-RU"/>
          </w:rPr>
          <w:t>Чем пользоваться на ЕГЭ</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7" w:history="1">
        <w:r w:rsidRPr="001D6212">
          <w:rPr>
            <w:rFonts w:ascii="Tahoma" w:eastAsia="Times New Roman" w:hAnsi="Tahoma" w:cs="Tahoma"/>
            <w:color w:val="255578"/>
            <w:sz w:val="24"/>
            <w:szCs w:val="24"/>
            <w:lang w:eastAsia="ru-RU"/>
          </w:rPr>
          <w:t>Нарушения на ЕГЭ</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8" w:history="1">
        <w:r w:rsidRPr="001D6212">
          <w:rPr>
            <w:rFonts w:ascii="Tahoma" w:eastAsia="Times New Roman" w:hAnsi="Tahoma" w:cs="Tahoma"/>
            <w:color w:val="255578"/>
            <w:sz w:val="24"/>
            <w:szCs w:val="24"/>
            <w:lang w:eastAsia="ru-RU"/>
          </w:rPr>
          <w:t>Минимальное количество баллов ЕГЭ для поступления в ВУЗ</w:t>
        </w:r>
      </w:hyperlink>
    </w:p>
    <w:p w:rsidR="001D6212" w:rsidRPr="001D6212" w:rsidRDefault="001D6212" w:rsidP="001D6212">
      <w:pPr>
        <w:numPr>
          <w:ilvl w:val="1"/>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19" w:history="1">
        <w:r w:rsidRPr="001D6212">
          <w:rPr>
            <w:rFonts w:ascii="Tahoma" w:eastAsia="Times New Roman" w:hAnsi="Tahoma" w:cs="Tahoma"/>
            <w:color w:val="255578"/>
            <w:sz w:val="24"/>
            <w:szCs w:val="24"/>
            <w:lang w:eastAsia="ru-RU"/>
          </w:rPr>
          <w:t>Контакты по вопросам ЕГЭ</w:t>
        </w:r>
      </w:hyperlink>
    </w:p>
    <w:p w:rsidR="001D6212" w:rsidRPr="001D6212" w:rsidRDefault="001D6212" w:rsidP="001D6212">
      <w:pPr>
        <w:numPr>
          <w:ilvl w:val="0"/>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20" w:history="1">
        <w:r w:rsidRPr="001D6212">
          <w:rPr>
            <w:rFonts w:ascii="Tahoma" w:eastAsia="Times New Roman" w:hAnsi="Tahoma" w:cs="Tahoma"/>
            <w:color w:val="255578"/>
            <w:sz w:val="24"/>
            <w:szCs w:val="24"/>
            <w:lang w:eastAsia="ru-RU"/>
          </w:rPr>
          <w:t>Всероссийские проверочные работы (ВПР)</w:t>
        </w:r>
      </w:hyperlink>
    </w:p>
    <w:p w:rsidR="001D6212" w:rsidRPr="001D6212" w:rsidRDefault="001D6212" w:rsidP="001D6212">
      <w:pPr>
        <w:numPr>
          <w:ilvl w:val="0"/>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21" w:history="1">
        <w:r w:rsidRPr="001D6212">
          <w:rPr>
            <w:rFonts w:ascii="Tahoma" w:eastAsia="Times New Roman" w:hAnsi="Tahoma" w:cs="Tahoma"/>
            <w:color w:val="255578"/>
            <w:sz w:val="24"/>
            <w:szCs w:val="24"/>
            <w:lang w:eastAsia="ru-RU"/>
          </w:rPr>
          <w:t>Противодействие терроризму и экстремизму</w:t>
        </w:r>
      </w:hyperlink>
    </w:p>
    <w:p w:rsidR="001D6212" w:rsidRPr="001D6212" w:rsidRDefault="001D6212" w:rsidP="001D6212">
      <w:pPr>
        <w:numPr>
          <w:ilvl w:val="0"/>
          <w:numId w:val="3"/>
        </w:numPr>
        <w:shd w:val="clear" w:color="auto" w:fill="FFFFFF"/>
        <w:spacing w:after="0" w:line="375" w:lineRule="atLeast"/>
        <w:ind w:left="-19200"/>
        <w:rPr>
          <w:rFonts w:ascii="Tahoma" w:eastAsia="Times New Roman" w:hAnsi="Tahoma" w:cs="Tahoma"/>
          <w:color w:val="292929"/>
          <w:sz w:val="23"/>
          <w:szCs w:val="23"/>
          <w:lang w:eastAsia="ru-RU"/>
        </w:rPr>
      </w:pPr>
      <w:hyperlink r:id="rId22" w:history="1">
        <w:r w:rsidRPr="001D6212">
          <w:rPr>
            <w:rFonts w:ascii="Tahoma" w:eastAsia="Times New Roman" w:hAnsi="Tahoma" w:cs="Tahoma"/>
            <w:color w:val="255578"/>
            <w:sz w:val="24"/>
            <w:szCs w:val="24"/>
            <w:lang w:eastAsia="ru-RU"/>
          </w:rPr>
          <w:t>Противодействие коррупции</w:t>
        </w:r>
      </w:hyperlink>
    </w:p>
    <w:p w:rsidR="001D6212" w:rsidRPr="001D6212" w:rsidRDefault="001D6212" w:rsidP="001D6212">
      <w:pPr>
        <w:numPr>
          <w:ilvl w:val="0"/>
          <w:numId w:val="4"/>
        </w:numPr>
        <w:shd w:val="clear" w:color="auto" w:fill="F5F5F5"/>
        <w:spacing w:after="0" w:line="375" w:lineRule="atLeast"/>
        <w:ind w:left="-19200"/>
        <w:rPr>
          <w:rFonts w:ascii="Tahoma" w:eastAsia="Times New Roman" w:hAnsi="Tahoma" w:cs="Tahoma"/>
          <w:color w:val="292929"/>
          <w:sz w:val="23"/>
          <w:szCs w:val="23"/>
          <w:lang w:eastAsia="ru-RU"/>
        </w:rPr>
      </w:pPr>
      <w:hyperlink r:id="rId23" w:history="1">
        <w:r w:rsidRPr="001D6212">
          <w:rPr>
            <w:rFonts w:ascii="Tahoma" w:eastAsia="Times New Roman" w:hAnsi="Tahoma" w:cs="Tahoma"/>
            <w:color w:val="A6381D"/>
            <w:sz w:val="26"/>
            <w:lang w:eastAsia="ru-RU"/>
          </w:rPr>
          <w:t>Обращения</w:t>
        </w:r>
      </w:hyperlink>
    </w:p>
    <w:p w:rsidR="001D6212" w:rsidRPr="001D6212" w:rsidRDefault="001D6212" w:rsidP="001D6212">
      <w:pPr>
        <w:numPr>
          <w:ilvl w:val="1"/>
          <w:numId w:val="4"/>
        </w:numPr>
        <w:shd w:val="clear" w:color="auto" w:fill="F5F5F5"/>
        <w:spacing w:after="0" w:line="375" w:lineRule="atLeast"/>
        <w:ind w:left="-19200"/>
        <w:rPr>
          <w:rFonts w:ascii="Tahoma" w:eastAsia="Times New Roman" w:hAnsi="Tahoma" w:cs="Tahoma"/>
          <w:color w:val="292929"/>
          <w:sz w:val="23"/>
          <w:szCs w:val="23"/>
          <w:lang w:eastAsia="ru-RU"/>
        </w:rPr>
      </w:pPr>
      <w:hyperlink r:id="rId24" w:history="1">
        <w:r w:rsidRPr="001D6212">
          <w:rPr>
            <w:rFonts w:ascii="Tahoma" w:eastAsia="Times New Roman" w:hAnsi="Tahoma" w:cs="Tahoma"/>
            <w:color w:val="8F8F8F"/>
            <w:sz w:val="24"/>
            <w:szCs w:val="24"/>
            <w:lang w:eastAsia="ru-RU"/>
          </w:rPr>
          <w:t>Независимая оценка</w:t>
        </w:r>
      </w:hyperlink>
    </w:p>
    <w:p w:rsidR="001D6212" w:rsidRPr="001D6212" w:rsidRDefault="001D6212" w:rsidP="001D6212">
      <w:pPr>
        <w:numPr>
          <w:ilvl w:val="1"/>
          <w:numId w:val="4"/>
        </w:numPr>
        <w:shd w:val="clear" w:color="auto" w:fill="F5F5F5"/>
        <w:spacing w:after="0" w:line="375" w:lineRule="atLeast"/>
        <w:ind w:left="-19200"/>
        <w:rPr>
          <w:rFonts w:ascii="Tahoma" w:eastAsia="Times New Roman" w:hAnsi="Tahoma" w:cs="Tahoma"/>
          <w:color w:val="292929"/>
          <w:sz w:val="23"/>
          <w:szCs w:val="23"/>
          <w:lang w:eastAsia="ru-RU"/>
        </w:rPr>
      </w:pPr>
      <w:hyperlink r:id="rId25" w:history="1">
        <w:r w:rsidRPr="001D6212">
          <w:rPr>
            <w:rFonts w:ascii="Tahoma" w:eastAsia="Times New Roman" w:hAnsi="Tahoma" w:cs="Tahoma"/>
            <w:color w:val="8F8F8F"/>
            <w:sz w:val="24"/>
            <w:szCs w:val="24"/>
            <w:lang w:eastAsia="ru-RU"/>
          </w:rPr>
          <w:t>Олимпиады</w:t>
        </w:r>
      </w:hyperlink>
    </w:p>
    <w:p w:rsidR="001D6212" w:rsidRPr="001D6212" w:rsidRDefault="001D6212" w:rsidP="001D6212">
      <w:pPr>
        <w:numPr>
          <w:ilvl w:val="1"/>
          <w:numId w:val="4"/>
        </w:numPr>
        <w:shd w:val="clear" w:color="auto" w:fill="F5F5F5"/>
        <w:spacing w:after="0" w:line="375" w:lineRule="atLeast"/>
        <w:ind w:left="-19200"/>
        <w:rPr>
          <w:rFonts w:ascii="Tahoma" w:eastAsia="Times New Roman" w:hAnsi="Tahoma" w:cs="Tahoma"/>
          <w:color w:val="292929"/>
          <w:sz w:val="23"/>
          <w:szCs w:val="23"/>
          <w:lang w:eastAsia="ru-RU"/>
        </w:rPr>
      </w:pPr>
      <w:hyperlink r:id="rId26" w:history="1">
        <w:r w:rsidRPr="001D6212">
          <w:rPr>
            <w:rFonts w:ascii="Tahoma" w:eastAsia="Times New Roman" w:hAnsi="Tahoma" w:cs="Tahoma"/>
            <w:color w:val="8F8F8F"/>
            <w:sz w:val="24"/>
            <w:szCs w:val="24"/>
            <w:lang w:eastAsia="ru-RU"/>
          </w:rPr>
          <w:t>Школьные вести</w:t>
        </w:r>
      </w:hyperlink>
    </w:p>
    <w:p w:rsidR="001D6212" w:rsidRPr="001D6212" w:rsidRDefault="001D6212" w:rsidP="001D6212">
      <w:pPr>
        <w:numPr>
          <w:ilvl w:val="1"/>
          <w:numId w:val="4"/>
        </w:numPr>
        <w:shd w:val="clear" w:color="auto" w:fill="F5F5F5"/>
        <w:spacing w:after="0" w:line="375" w:lineRule="atLeast"/>
        <w:ind w:left="-19200"/>
        <w:rPr>
          <w:rFonts w:ascii="Tahoma" w:eastAsia="Times New Roman" w:hAnsi="Tahoma" w:cs="Tahoma"/>
          <w:color w:val="292929"/>
          <w:sz w:val="23"/>
          <w:szCs w:val="23"/>
          <w:lang w:eastAsia="ru-RU"/>
        </w:rPr>
      </w:pPr>
      <w:hyperlink r:id="rId27" w:history="1">
        <w:r w:rsidRPr="001D6212">
          <w:rPr>
            <w:rFonts w:ascii="Tahoma" w:eastAsia="Times New Roman" w:hAnsi="Tahoma" w:cs="Tahoma"/>
            <w:color w:val="8F8F8F"/>
            <w:sz w:val="24"/>
            <w:szCs w:val="24"/>
            <w:lang w:eastAsia="ru-RU"/>
          </w:rPr>
          <w:t>Финансовое просвещение</w:t>
        </w:r>
      </w:hyperlink>
    </w:p>
    <w:p w:rsidR="001D6212" w:rsidRPr="001D6212" w:rsidRDefault="001D6212" w:rsidP="001D6212">
      <w:pPr>
        <w:numPr>
          <w:ilvl w:val="0"/>
          <w:numId w:val="4"/>
        </w:numPr>
        <w:shd w:val="clear" w:color="auto" w:fill="F5F5F5"/>
        <w:spacing w:after="0" w:line="375" w:lineRule="atLeast"/>
        <w:ind w:left="-19200"/>
        <w:rPr>
          <w:rFonts w:ascii="Tahoma" w:eastAsia="Times New Roman" w:hAnsi="Tahoma" w:cs="Tahoma"/>
          <w:color w:val="292929"/>
          <w:sz w:val="23"/>
          <w:szCs w:val="23"/>
          <w:lang w:eastAsia="ru-RU"/>
        </w:rPr>
      </w:pPr>
      <w:hyperlink r:id="rId28" w:history="1">
        <w:r w:rsidRPr="001D6212">
          <w:rPr>
            <w:rFonts w:ascii="Tahoma" w:eastAsia="Times New Roman" w:hAnsi="Tahoma" w:cs="Tahoma"/>
            <w:color w:val="A6381D"/>
            <w:sz w:val="26"/>
            <w:lang w:eastAsia="ru-RU"/>
          </w:rPr>
          <w:t>Социологический опрос</w:t>
        </w:r>
      </w:hyperlink>
    </w:p>
    <w:p w:rsidR="00D735CA" w:rsidRPr="001D6212" w:rsidRDefault="00D735CA" w:rsidP="001D6212"/>
    <w:sectPr w:rsidR="00D735CA" w:rsidRPr="001D6212" w:rsidSect="00D735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D92E35"/>
    <w:multiLevelType w:val="multilevel"/>
    <w:tmpl w:val="B56A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2C738D"/>
    <w:multiLevelType w:val="multilevel"/>
    <w:tmpl w:val="71567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903BCB"/>
    <w:multiLevelType w:val="multilevel"/>
    <w:tmpl w:val="0216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BA50DC"/>
    <w:multiLevelType w:val="multilevel"/>
    <w:tmpl w:val="9B408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D6212"/>
    <w:rsid w:val="001D6212"/>
    <w:rsid w:val="00D735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heme="minorBidi"/>
        <w:color w:val="5F5F5F"/>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5CA"/>
  </w:style>
  <w:style w:type="paragraph" w:styleId="1">
    <w:name w:val="heading 1"/>
    <w:basedOn w:val="a"/>
    <w:link w:val="10"/>
    <w:uiPriority w:val="9"/>
    <w:qFormat/>
    <w:rsid w:val="001D6212"/>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6212"/>
    <w:rPr>
      <w:rFonts w:ascii="Times New Roman" w:eastAsia="Times New Roman" w:hAnsi="Times New Roman" w:cs="Times New Roman"/>
      <w:b/>
      <w:bCs/>
      <w:color w:val="auto"/>
      <w:kern w:val="36"/>
      <w:sz w:val="48"/>
      <w:szCs w:val="48"/>
      <w:lang w:eastAsia="ru-RU"/>
    </w:rPr>
  </w:style>
  <w:style w:type="paragraph" w:styleId="a3">
    <w:name w:val="Normal (Web)"/>
    <w:basedOn w:val="a"/>
    <w:uiPriority w:val="99"/>
    <w:semiHidden/>
    <w:unhideWhenUsed/>
    <w:rsid w:val="001D6212"/>
    <w:pPr>
      <w:spacing w:before="100" w:beforeAutospacing="1" w:after="100" w:afterAutospacing="1" w:line="240" w:lineRule="auto"/>
    </w:pPr>
    <w:rPr>
      <w:rFonts w:ascii="Times New Roman" w:eastAsia="Times New Roman" w:hAnsi="Times New Roman" w:cs="Times New Roman"/>
      <w:color w:val="auto"/>
      <w:sz w:val="24"/>
      <w:szCs w:val="24"/>
      <w:lang w:eastAsia="ru-RU"/>
    </w:rPr>
  </w:style>
  <w:style w:type="character" w:styleId="a4">
    <w:name w:val="Strong"/>
    <w:basedOn w:val="a0"/>
    <w:uiPriority w:val="22"/>
    <w:qFormat/>
    <w:rsid w:val="001D6212"/>
    <w:rPr>
      <w:b/>
      <w:bCs/>
    </w:rPr>
  </w:style>
  <w:style w:type="character" w:styleId="a5">
    <w:name w:val="Hyperlink"/>
    <w:basedOn w:val="a0"/>
    <w:uiPriority w:val="99"/>
    <w:semiHidden/>
    <w:unhideWhenUsed/>
    <w:rsid w:val="001D6212"/>
    <w:rPr>
      <w:color w:val="0000FF"/>
      <w:u w:val="single"/>
    </w:rPr>
  </w:style>
  <w:style w:type="character" w:customStyle="1" w:styleId="text">
    <w:name w:val="text"/>
    <w:basedOn w:val="a0"/>
    <w:rsid w:val="001D6212"/>
  </w:style>
  <w:style w:type="paragraph" w:customStyle="1" w:styleId="menu-item">
    <w:name w:val="menu-item"/>
    <w:basedOn w:val="a"/>
    <w:rsid w:val="001D6212"/>
    <w:pPr>
      <w:spacing w:before="100" w:beforeAutospacing="1" w:after="100" w:afterAutospacing="1" w:line="240" w:lineRule="auto"/>
    </w:pPr>
    <w:rPr>
      <w:rFonts w:ascii="Times New Roman" w:eastAsia="Times New Roman" w:hAnsi="Times New Roman" w:cs="Times New Roman"/>
      <w:color w:val="auto"/>
      <w:sz w:val="24"/>
      <w:szCs w:val="24"/>
      <w:lang w:eastAsia="ru-RU"/>
    </w:rPr>
  </w:style>
</w:styles>
</file>

<file path=word/webSettings.xml><?xml version="1.0" encoding="utf-8"?>
<w:webSettings xmlns:r="http://schemas.openxmlformats.org/officeDocument/2006/relationships" xmlns:w="http://schemas.openxmlformats.org/wordprocessingml/2006/main">
  <w:divs>
    <w:div w:id="1719163064">
      <w:bodyDiv w:val="1"/>
      <w:marLeft w:val="0"/>
      <w:marRight w:val="0"/>
      <w:marTop w:val="0"/>
      <w:marBottom w:val="0"/>
      <w:divBdr>
        <w:top w:val="none" w:sz="0" w:space="0" w:color="auto"/>
        <w:left w:val="none" w:sz="0" w:space="0" w:color="auto"/>
        <w:bottom w:val="none" w:sz="0" w:space="0" w:color="auto"/>
        <w:right w:val="none" w:sz="0" w:space="0" w:color="auto"/>
      </w:divBdr>
      <w:divsChild>
        <w:div w:id="951714422">
          <w:marLeft w:val="0"/>
          <w:marRight w:val="0"/>
          <w:marTop w:val="0"/>
          <w:marBottom w:val="0"/>
          <w:divBdr>
            <w:top w:val="none" w:sz="0" w:space="0" w:color="auto"/>
            <w:left w:val="none" w:sz="0" w:space="0" w:color="auto"/>
            <w:bottom w:val="none" w:sz="0" w:space="0" w:color="auto"/>
            <w:right w:val="none" w:sz="0" w:space="0" w:color="auto"/>
          </w:divBdr>
          <w:divsChild>
            <w:div w:id="811560415">
              <w:marLeft w:val="4110"/>
              <w:marRight w:val="0"/>
              <w:marTop w:val="0"/>
              <w:marBottom w:val="0"/>
              <w:divBdr>
                <w:top w:val="none" w:sz="0" w:space="0" w:color="auto"/>
                <w:left w:val="none" w:sz="0" w:space="0" w:color="auto"/>
                <w:bottom w:val="none" w:sz="0" w:space="0" w:color="auto"/>
                <w:right w:val="none" w:sz="0" w:space="0" w:color="auto"/>
              </w:divBdr>
              <w:divsChild>
                <w:div w:id="229852386">
                  <w:marLeft w:val="0"/>
                  <w:marRight w:val="0"/>
                  <w:marTop w:val="0"/>
                  <w:marBottom w:val="0"/>
                  <w:divBdr>
                    <w:top w:val="none" w:sz="0" w:space="0" w:color="auto"/>
                    <w:left w:val="none" w:sz="0" w:space="0" w:color="auto"/>
                    <w:bottom w:val="none" w:sz="0" w:space="0" w:color="auto"/>
                    <w:right w:val="none" w:sz="0" w:space="0" w:color="auto"/>
                  </w:divBdr>
                  <w:divsChild>
                    <w:div w:id="1132477404">
                      <w:marLeft w:val="0"/>
                      <w:marRight w:val="0"/>
                      <w:marTop w:val="0"/>
                      <w:marBottom w:val="0"/>
                      <w:divBdr>
                        <w:top w:val="none" w:sz="0" w:space="0" w:color="auto"/>
                        <w:left w:val="none" w:sz="0" w:space="0" w:color="auto"/>
                        <w:bottom w:val="none" w:sz="0" w:space="0" w:color="auto"/>
                        <w:right w:val="none" w:sz="0" w:space="0" w:color="auto"/>
                      </w:divBdr>
                      <w:divsChild>
                        <w:div w:id="451484643">
                          <w:marLeft w:val="0"/>
                          <w:marRight w:val="0"/>
                          <w:marTop w:val="0"/>
                          <w:marBottom w:val="0"/>
                          <w:divBdr>
                            <w:top w:val="none" w:sz="0" w:space="0" w:color="auto"/>
                            <w:left w:val="none" w:sz="0" w:space="0" w:color="auto"/>
                            <w:bottom w:val="none" w:sz="0" w:space="0" w:color="auto"/>
                            <w:right w:val="none" w:sz="0" w:space="0" w:color="auto"/>
                          </w:divBdr>
                        </w:div>
                        <w:div w:id="197683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344399">
          <w:marLeft w:val="-19200"/>
          <w:marRight w:val="0"/>
          <w:marTop w:val="0"/>
          <w:marBottom w:val="0"/>
          <w:divBdr>
            <w:top w:val="none" w:sz="0" w:space="0" w:color="auto"/>
            <w:left w:val="none" w:sz="0" w:space="0" w:color="auto"/>
            <w:bottom w:val="none" w:sz="0" w:space="0" w:color="auto"/>
            <w:right w:val="none" w:sz="0" w:space="0" w:color="auto"/>
          </w:divBdr>
          <w:divsChild>
            <w:div w:id="1546335475">
              <w:marLeft w:val="0"/>
              <w:marRight w:val="0"/>
              <w:marTop w:val="0"/>
              <w:marBottom w:val="0"/>
              <w:divBdr>
                <w:top w:val="none" w:sz="0" w:space="0" w:color="auto"/>
                <w:left w:val="none" w:sz="0" w:space="0" w:color="auto"/>
                <w:bottom w:val="none" w:sz="0" w:space="0" w:color="auto"/>
                <w:right w:val="none" w:sz="0" w:space="0" w:color="auto"/>
              </w:divBdr>
              <w:divsChild>
                <w:div w:id="61607192">
                  <w:marLeft w:val="0"/>
                  <w:marRight w:val="0"/>
                  <w:marTop w:val="0"/>
                  <w:marBottom w:val="0"/>
                  <w:divBdr>
                    <w:top w:val="none" w:sz="0" w:space="0" w:color="auto"/>
                    <w:left w:val="none" w:sz="0" w:space="0" w:color="auto"/>
                    <w:bottom w:val="none" w:sz="0" w:space="0" w:color="auto"/>
                    <w:right w:val="none" w:sz="0" w:space="0" w:color="auto"/>
                  </w:divBdr>
                  <w:divsChild>
                    <w:div w:id="573902094">
                      <w:marLeft w:val="0"/>
                      <w:marRight w:val="0"/>
                      <w:marTop w:val="0"/>
                      <w:marBottom w:val="0"/>
                      <w:divBdr>
                        <w:top w:val="none" w:sz="0" w:space="0" w:color="auto"/>
                        <w:left w:val="none" w:sz="0" w:space="0" w:color="auto"/>
                        <w:bottom w:val="none" w:sz="0" w:space="0" w:color="auto"/>
                        <w:right w:val="none" w:sz="0" w:space="0" w:color="auto"/>
                      </w:divBdr>
                    </w:div>
                    <w:div w:id="510531039">
                      <w:marLeft w:val="0"/>
                      <w:marRight w:val="0"/>
                      <w:marTop w:val="0"/>
                      <w:marBottom w:val="0"/>
                      <w:divBdr>
                        <w:top w:val="none" w:sz="0" w:space="0" w:color="auto"/>
                        <w:left w:val="none" w:sz="0" w:space="0" w:color="auto"/>
                        <w:bottom w:val="none" w:sz="0" w:space="0" w:color="auto"/>
                        <w:right w:val="none" w:sz="0" w:space="0" w:color="auto"/>
                      </w:divBdr>
                      <w:divsChild>
                        <w:div w:id="1665619157">
                          <w:marLeft w:val="0"/>
                          <w:marRight w:val="0"/>
                          <w:marTop w:val="0"/>
                          <w:marBottom w:val="0"/>
                          <w:divBdr>
                            <w:top w:val="none" w:sz="0" w:space="0" w:color="auto"/>
                            <w:left w:val="none" w:sz="0" w:space="0" w:color="auto"/>
                            <w:bottom w:val="none" w:sz="0" w:space="0" w:color="auto"/>
                            <w:right w:val="none" w:sz="0" w:space="0" w:color="auto"/>
                          </w:divBdr>
                        </w:div>
                        <w:div w:id="420032527">
                          <w:marLeft w:val="0"/>
                          <w:marRight w:val="0"/>
                          <w:marTop w:val="0"/>
                          <w:marBottom w:val="0"/>
                          <w:divBdr>
                            <w:top w:val="none" w:sz="0" w:space="0" w:color="auto"/>
                            <w:left w:val="none" w:sz="0" w:space="0" w:color="auto"/>
                            <w:bottom w:val="none" w:sz="0" w:space="0" w:color="auto"/>
                            <w:right w:val="none" w:sz="0" w:space="0" w:color="auto"/>
                          </w:divBdr>
                        </w:div>
                        <w:div w:id="1168447066">
                          <w:marLeft w:val="0"/>
                          <w:marRight w:val="0"/>
                          <w:marTop w:val="0"/>
                          <w:marBottom w:val="0"/>
                          <w:divBdr>
                            <w:top w:val="none" w:sz="0" w:space="0" w:color="auto"/>
                            <w:left w:val="none" w:sz="0" w:space="0" w:color="auto"/>
                            <w:bottom w:val="none" w:sz="0" w:space="0" w:color="auto"/>
                            <w:right w:val="none" w:sz="0" w:space="0" w:color="auto"/>
                          </w:divBdr>
                        </w:div>
                        <w:div w:id="428739227">
                          <w:marLeft w:val="0"/>
                          <w:marRight w:val="0"/>
                          <w:marTop w:val="0"/>
                          <w:marBottom w:val="0"/>
                          <w:divBdr>
                            <w:top w:val="none" w:sz="0" w:space="0" w:color="auto"/>
                            <w:left w:val="none" w:sz="0" w:space="0" w:color="auto"/>
                            <w:bottom w:val="none" w:sz="0" w:space="0" w:color="auto"/>
                            <w:right w:val="none" w:sz="0" w:space="0" w:color="auto"/>
                          </w:divBdr>
                        </w:div>
                        <w:div w:id="1947149071">
                          <w:marLeft w:val="0"/>
                          <w:marRight w:val="0"/>
                          <w:marTop w:val="0"/>
                          <w:marBottom w:val="0"/>
                          <w:divBdr>
                            <w:top w:val="none" w:sz="0" w:space="0" w:color="auto"/>
                            <w:left w:val="none" w:sz="0" w:space="0" w:color="auto"/>
                            <w:bottom w:val="none" w:sz="0" w:space="0" w:color="auto"/>
                            <w:right w:val="none" w:sz="0" w:space="0" w:color="auto"/>
                          </w:divBdr>
                        </w:div>
                        <w:div w:id="412052078">
                          <w:marLeft w:val="0"/>
                          <w:marRight w:val="0"/>
                          <w:marTop w:val="0"/>
                          <w:marBottom w:val="0"/>
                          <w:divBdr>
                            <w:top w:val="none" w:sz="0" w:space="0" w:color="auto"/>
                            <w:left w:val="none" w:sz="0" w:space="0" w:color="auto"/>
                            <w:bottom w:val="none" w:sz="0" w:space="0" w:color="auto"/>
                            <w:right w:val="none" w:sz="0" w:space="0" w:color="auto"/>
                          </w:divBdr>
                        </w:div>
                        <w:div w:id="661129535">
                          <w:marLeft w:val="0"/>
                          <w:marRight w:val="0"/>
                          <w:marTop w:val="0"/>
                          <w:marBottom w:val="0"/>
                          <w:divBdr>
                            <w:top w:val="none" w:sz="0" w:space="0" w:color="auto"/>
                            <w:left w:val="none" w:sz="0" w:space="0" w:color="auto"/>
                            <w:bottom w:val="none" w:sz="0" w:space="0" w:color="auto"/>
                            <w:right w:val="none" w:sz="0" w:space="0" w:color="auto"/>
                          </w:divBdr>
                        </w:div>
                        <w:div w:id="1053427788">
                          <w:marLeft w:val="0"/>
                          <w:marRight w:val="0"/>
                          <w:marTop w:val="0"/>
                          <w:marBottom w:val="0"/>
                          <w:divBdr>
                            <w:top w:val="none" w:sz="0" w:space="0" w:color="auto"/>
                            <w:left w:val="none" w:sz="0" w:space="0" w:color="auto"/>
                            <w:bottom w:val="none" w:sz="0" w:space="0" w:color="auto"/>
                            <w:right w:val="none" w:sz="0" w:space="0" w:color="auto"/>
                          </w:divBdr>
                        </w:div>
                        <w:div w:id="1763184985">
                          <w:marLeft w:val="0"/>
                          <w:marRight w:val="0"/>
                          <w:marTop w:val="0"/>
                          <w:marBottom w:val="0"/>
                          <w:divBdr>
                            <w:top w:val="none" w:sz="0" w:space="0" w:color="auto"/>
                            <w:left w:val="none" w:sz="0" w:space="0" w:color="auto"/>
                            <w:bottom w:val="none" w:sz="0" w:space="0" w:color="auto"/>
                            <w:right w:val="none" w:sz="0" w:space="0" w:color="auto"/>
                          </w:divBdr>
                        </w:div>
                        <w:div w:id="202328456">
                          <w:marLeft w:val="0"/>
                          <w:marRight w:val="0"/>
                          <w:marTop w:val="0"/>
                          <w:marBottom w:val="0"/>
                          <w:divBdr>
                            <w:top w:val="none" w:sz="0" w:space="0" w:color="auto"/>
                            <w:left w:val="none" w:sz="0" w:space="0" w:color="auto"/>
                            <w:bottom w:val="none" w:sz="0" w:space="0" w:color="auto"/>
                            <w:right w:val="none" w:sz="0" w:space="0" w:color="auto"/>
                          </w:divBdr>
                        </w:div>
                        <w:div w:id="2107924221">
                          <w:marLeft w:val="0"/>
                          <w:marRight w:val="0"/>
                          <w:marTop w:val="0"/>
                          <w:marBottom w:val="0"/>
                          <w:divBdr>
                            <w:top w:val="none" w:sz="0" w:space="0" w:color="auto"/>
                            <w:left w:val="none" w:sz="0" w:space="0" w:color="auto"/>
                            <w:bottom w:val="none" w:sz="0" w:space="0" w:color="auto"/>
                            <w:right w:val="none" w:sz="0" w:space="0" w:color="auto"/>
                          </w:divBdr>
                        </w:div>
                        <w:div w:id="688413914">
                          <w:marLeft w:val="0"/>
                          <w:marRight w:val="0"/>
                          <w:marTop w:val="0"/>
                          <w:marBottom w:val="0"/>
                          <w:divBdr>
                            <w:top w:val="none" w:sz="0" w:space="0" w:color="auto"/>
                            <w:left w:val="none" w:sz="0" w:space="0" w:color="auto"/>
                            <w:bottom w:val="none" w:sz="0" w:space="0" w:color="auto"/>
                            <w:right w:val="none" w:sz="0" w:space="0" w:color="auto"/>
                          </w:divBdr>
                        </w:div>
                        <w:div w:id="1080835114">
                          <w:marLeft w:val="0"/>
                          <w:marRight w:val="0"/>
                          <w:marTop w:val="0"/>
                          <w:marBottom w:val="0"/>
                          <w:divBdr>
                            <w:top w:val="none" w:sz="0" w:space="0" w:color="auto"/>
                            <w:left w:val="none" w:sz="0" w:space="0" w:color="auto"/>
                            <w:bottom w:val="none" w:sz="0" w:space="0" w:color="auto"/>
                            <w:right w:val="none" w:sz="0" w:space="0" w:color="auto"/>
                          </w:divBdr>
                        </w:div>
                      </w:divsChild>
                    </w:div>
                    <w:div w:id="388067455">
                      <w:marLeft w:val="0"/>
                      <w:marRight w:val="0"/>
                      <w:marTop w:val="0"/>
                      <w:marBottom w:val="0"/>
                      <w:divBdr>
                        <w:top w:val="none" w:sz="0" w:space="0" w:color="auto"/>
                        <w:left w:val="none" w:sz="0" w:space="0" w:color="auto"/>
                        <w:bottom w:val="none" w:sz="0" w:space="0" w:color="auto"/>
                        <w:right w:val="none" w:sz="0" w:space="0" w:color="auto"/>
                      </w:divBdr>
                    </w:div>
                    <w:div w:id="1921521725">
                      <w:marLeft w:val="0"/>
                      <w:marRight w:val="0"/>
                      <w:marTop w:val="0"/>
                      <w:marBottom w:val="0"/>
                      <w:divBdr>
                        <w:top w:val="none" w:sz="0" w:space="0" w:color="auto"/>
                        <w:left w:val="none" w:sz="0" w:space="0" w:color="auto"/>
                        <w:bottom w:val="none" w:sz="0" w:space="0" w:color="auto"/>
                        <w:right w:val="none" w:sz="0" w:space="0" w:color="auto"/>
                      </w:divBdr>
                    </w:div>
                    <w:div w:id="199166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073222">
              <w:marLeft w:val="0"/>
              <w:marRight w:val="0"/>
              <w:marTop w:val="0"/>
              <w:marBottom w:val="0"/>
              <w:divBdr>
                <w:top w:val="none" w:sz="0" w:space="0" w:color="auto"/>
                <w:left w:val="none" w:sz="0" w:space="0" w:color="auto"/>
                <w:bottom w:val="none" w:sz="0" w:space="0" w:color="auto"/>
                <w:right w:val="none" w:sz="0" w:space="0" w:color="auto"/>
              </w:divBdr>
              <w:divsChild>
                <w:div w:id="1442922124">
                  <w:marLeft w:val="0"/>
                  <w:marRight w:val="0"/>
                  <w:marTop w:val="0"/>
                  <w:marBottom w:val="0"/>
                  <w:divBdr>
                    <w:top w:val="none" w:sz="0" w:space="0" w:color="auto"/>
                    <w:left w:val="none" w:sz="0" w:space="0" w:color="auto"/>
                    <w:bottom w:val="none" w:sz="0" w:space="0" w:color="auto"/>
                    <w:right w:val="none" w:sz="0" w:space="0" w:color="auto"/>
                  </w:divBdr>
                  <w:divsChild>
                    <w:div w:id="99497016">
                      <w:marLeft w:val="0"/>
                      <w:marRight w:val="0"/>
                      <w:marTop w:val="0"/>
                      <w:marBottom w:val="0"/>
                      <w:divBdr>
                        <w:top w:val="none" w:sz="0" w:space="0" w:color="auto"/>
                        <w:left w:val="none" w:sz="0" w:space="0" w:color="auto"/>
                        <w:bottom w:val="none" w:sz="0" w:space="0" w:color="auto"/>
                        <w:right w:val="none" w:sz="0" w:space="0" w:color="auto"/>
                      </w:divBdr>
                      <w:divsChild>
                        <w:div w:id="742987074">
                          <w:marLeft w:val="0"/>
                          <w:marRight w:val="0"/>
                          <w:marTop w:val="0"/>
                          <w:marBottom w:val="0"/>
                          <w:divBdr>
                            <w:top w:val="none" w:sz="0" w:space="0" w:color="auto"/>
                            <w:left w:val="none" w:sz="0" w:space="0" w:color="auto"/>
                            <w:bottom w:val="none" w:sz="0" w:space="0" w:color="auto"/>
                            <w:right w:val="none" w:sz="0" w:space="0" w:color="auto"/>
                          </w:divBdr>
                          <w:divsChild>
                            <w:div w:id="529148151">
                              <w:marLeft w:val="0"/>
                              <w:marRight w:val="0"/>
                              <w:marTop w:val="0"/>
                              <w:marBottom w:val="0"/>
                              <w:divBdr>
                                <w:top w:val="none" w:sz="0" w:space="0" w:color="auto"/>
                                <w:left w:val="none" w:sz="0" w:space="0" w:color="auto"/>
                                <w:bottom w:val="none" w:sz="0" w:space="0" w:color="auto"/>
                                <w:right w:val="none" w:sz="0" w:space="0" w:color="auto"/>
                              </w:divBdr>
                              <w:divsChild>
                                <w:div w:id="841820295">
                                  <w:marLeft w:val="0"/>
                                  <w:marRight w:val="0"/>
                                  <w:marTop w:val="0"/>
                                  <w:marBottom w:val="0"/>
                                  <w:divBdr>
                                    <w:top w:val="none" w:sz="0" w:space="0" w:color="auto"/>
                                    <w:left w:val="none" w:sz="0" w:space="0" w:color="auto"/>
                                    <w:bottom w:val="none" w:sz="0" w:space="0" w:color="auto"/>
                                    <w:right w:val="none" w:sz="0" w:space="0" w:color="auto"/>
                                  </w:divBdr>
                                </w:div>
                                <w:div w:id="1676542005">
                                  <w:marLeft w:val="0"/>
                                  <w:marRight w:val="0"/>
                                  <w:marTop w:val="0"/>
                                  <w:marBottom w:val="0"/>
                                  <w:divBdr>
                                    <w:top w:val="none" w:sz="0" w:space="0" w:color="auto"/>
                                    <w:left w:val="none" w:sz="0" w:space="0" w:color="auto"/>
                                    <w:bottom w:val="none" w:sz="0" w:space="0" w:color="auto"/>
                                    <w:right w:val="none" w:sz="0" w:space="0" w:color="auto"/>
                                  </w:divBdr>
                                </w:div>
                                <w:div w:id="2067606734">
                                  <w:marLeft w:val="0"/>
                                  <w:marRight w:val="0"/>
                                  <w:marTop w:val="0"/>
                                  <w:marBottom w:val="0"/>
                                  <w:divBdr>
                                    <w:top w:val="none" w:sz="0" w:space="0" w:color="auto"/>
                                    <w:left w:val="none" w:sz="0" w:space="0" w:color="auto"/>
                                    <w:bottom w:val="none" w:sz="0" w:space="0" w:color="auto"/>
                                    <w:right w:val="none" w:sz="0" w:space="0" w:color="auto"/>
                                  </w:divBdr>
                                </w:div>
                                <w:div w:id="20068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agaramkentruo.dagestanschool.ru/activities/4" TargetMode="External"/><Relationship Id="rId13" Type="http://schemas.openxmlformats.org/officeDocument/2006/relationships/hyperlink" Target="https://magaramkentruo.dagestanschool.ru/activities/9" TargetMode="External"/><Relationship Id="rId18" Type="http://schemas.openxmlformats.org/officeDocument/2006/relationships/hyperlink" Target="https://magaramkentruo.dagestanschool.ru/activities/15" TargetMode="External"/><Relationship Id="rId26" Type="http://schemas.openxmlformats.org/officeDocument/2006/relationships/hyperlink" Target="https://magaramkentruo.dagestanschool.ru/treatments/4" TargetMode="External"/><Relationship Id="rId3" Type="http://schemas.openxmlformats.org/officeDocument/2006/relationships/settings" Target="settings.xml"/><Relationship Id="rId21" Type="http://schemas.openxmlformats.org/officeDocument/2006/relationships/hyperlink" Target="https://magaramkentruo.dagestanschool.ru/activities/18" TargetMode="External"/><Relationship Id="rId7" Type="http://schemas.openxmlformats.org/officeDocument/2006/relationships/hyperlink" Target="https://magaramkentruo.dagestanschool.ru/activities/3" TargetMode="External"/><Relationship Id="rId12" Type="http://schemas.openxmlformats.org/officeDocument/2006/relationships/hyperlink" Target="https://magaramkentruo.dagestanschool.ru/activities/8" TargetMode="External"/><Relationship Id="rId17" Type="http://schemas.openxmlformats.org/officeDocument/2006/relationships/hyperlink" Target="https://magaramkentruo.dagestanschool.ru/activities/14" TargetMode="External"/><Relationship Id="rId25" Type="http://schemas.openxmlformats.org/officeDocument/2006/relationships/hyperlink" Target="https://magaramkentruo.dagestanschool.ru/treatments/2" TargetMode="External"/><Relationship Id="rId2" Type="http://schemas.openxmlformats.org/officeDocument/2006/relationships/styles" Target="styles.xml"/><Relationship Id="rId16" Type="http://schemas.openxmlformats.org/officeDocument/2006/relationships/hyperlink" Target="https://magaramkentruo.dagestanschool.ru/activities/12" TargetMode="External"/><Relationship Id="rId20" Type="http://schemas.openxmlformats.org/officeDocument/2006/relationships/hyperlink" Target="https://magaramkentruo.dagestanschool.ru/activities/1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agaramkentruo.dagestanschool.ru/activities/2" TargetMode="External"/><Relationship Id="rId11" Type="http://schemas.openxmlformats.org/officeDocument/2006/relationships/hyperlink" Target="https://magaramkentruo.dagestanschool.ru/activities/7" TargetMode="External"/><Relationship Id="rId24" Type="http://schemas.openxmlformats.org/officeDocument/2006/relationships/hyperlink" Target="http://adminmr.ru/%D0%9D%D0%B5%D0%B7%D0%B0%D0%B2%D0%B8%D1%81%D0%B8%D0%BC%D0%B0%D1%8F%20%D0%BE%D1%86%D0%B5%D0%BD%D0%BA%D0%B0" TargetMode="External"/><Relationship Id="rId5" Type="http://schemas.openxmlformats.org/officeDocument/2006/relationships/hyperlink" Target="http://ege.edu.ru/ru/main/legal-documents/education/index.php?id_4=23684" TargetMode="External"/><Relationship Id="rId15" Type="http://schemas.openxmlformats.org/officeDocument/2006/relationships/hyperlink" Target="https://magaramkentruo.dagestanschool.ru/activities/11" TargetMode="External"/><Relationship Id="rId23" Type="http://schemas.openxmlformats.org/officeDocument/2006/relationships/hyperlink" Target="https://magaramkentruo.dagestanschool.ru/treatments" TargetMode="External"/><Relationship Id="rId28" Type="http://schemas.openxmlformats.org/officeDocument/2006/relationships/hyperlink" Target="https://magaramkentruo.dagestanschool.ru/survey" TargetMode="External"/><Relationship Id="rId10" Type="http://schemas.openxmlformats.org/officeDocument/2006/relationships/hyperlink" Target="https://magaramkentruo.dagestanschool.ru/activities/6" TargetMode="External"/><Relationship Id="rId19" Type="http://schemas.openxmlformats.org/officeDocument/2006/relationships/hyperlink" Target="https://magaramkentruo.dagestanschool.ru/activities/16" TargetMode="External"/><Relationship Id="rId4" Type="http://schemas.openxmlformats.org/officeDocument/2006/relationships/webSettings" Target="webSettings.xml"/><Relationship Id="rId9" Type="http://schemas.openxmlformats.org/officeDocument/2006/relationships/hyperlink" Target="https://magaramkentruo.dagestanschool.ru/activities/5" TargetMode="External"/><Relationship Id="rId14" Type="http://schemas.openxmlformats.org/officeDocument/2006/relationships/hyperlink" Target="https://magaramkentruo.dagestanschool.ru/activities/10" TargetMode="External"/><Relationship Id="rId22" Type="http://schemas.openxmlformats.org/officeDocument/2006/relationships/hyperlink" Target="https://magaramkentruo.dagestanschool.ru/activities/19" TargetMode="External"/><Relationship Id="rId27" Type="http://schemas.openxmlformats.org/officeDocument/2006/relationships/hyperlink" Target="https://magaramkentruo.dagestanschool.ru/treatments/5"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1382</Words>
  <Characters>7883</Characters>
  <Application>Microsoft Office Word</Application>
  <DocSecurity>0</DocSecurity>
  <Lines>65</Lines>
  <Paragraphs>18</Paragraphs>
  <ScaleCrop>false</ScaleCrop>
  <Company/>
  <LinksUpToDate>false</LinksUpToDate>
  <CharactersWithSpaces>9247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2021-09-08T10:01:00Z</dcterms:created>
  <dcterms:modified xsi:type="dcterms:W3CDTF">2021-09-08T10:02:00Z</dcterms:modified>
</cp:coreProperties>
</file>